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Journnée annuelle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Augot, daniel/ Oggier, Frédérique/ Société mathématique de France/ </w:t>
            </w:r>
          </w:p>
        </w:tc>
      </w:tr>
      <w:tr>
        <w:trPr>
          <w:trHeight w:val="567"/>
        </w:trPr>
        <w:tc>
          <w:tcPr>
            <w:tcW w:type="dxa" w:w="3000"/>
          </w:tcPr>
          <w:p>
            <w:r>
              <w:t>Adresse bib.</w:t>
            </w:r>
          </w:p>
        </w:tc>
        <w:tc>
          <w:tcPr>
            <w:tcW w:type="dxa" w:w="7000"/>
          </w:tcPr>
          <w:p>
            <w:r>
              <w:t xml:space="preserve">Société Mathematique de France./ </w:t>
            </w:r>
          </w:p>
        </w:tc>
      </w:tr>
      <w:tr>
        <w:trPr>
          <w:trHeight w:val="567"/>
        </w:trPr>
        <w:tc>
          <w:tcPr>
            <w:tcW w:type="dxa" w:w="3000"/>
          </w:tcPr>
          <w:p>
            <w:r>
              <w:t>Nombre de Pages</w:t>
            </w:r>
          </w:p>
        </w:tc>
        <w:tc>
          <w:tcPr>
            <w:tcW w:type="dxa" w:w="7000"/>
          </w:tcPr>
          <w:p>
            <w:r>
              <w:t>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9782856293102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codage/ </w:t>
            </w:r>
          </w:p>
        </w:tc>
      </w:tr>
    </w:tbl>
    <w:p>
      <w:pPr>
        <w:pStyle w:val="Heading3"/>
      </w:pPr>
      <w:r>
        <w:t>Résumé :</w:t>
      </w:r>
    </w:p>
    <w:p>
      <w:r>
        <w:t>Ce sujet est  destiné à un public non spécialiste , l'auteur à donne peu de références aux articles des revues de recherche donnant si possible la préférence à des ouvrages ou figure une introduction pédagogique aux sujets présentés : Berrou (2) pour un approche stochastique du décodage, Roth (8) pour les codes algébriques classiques, dont notamment les codes concaténés, Vladut, Nogin et Tsfasman (9) pour les bornes combinatoires usuelles et les codes géométriques, et Guruswami (4) pour le décodage en 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