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Wohlauser, Alfred/ Arbenz, Kurt/ </w:t>
            </w:r>
          </w:p>
        </w:tc>
      </w:tr>
      <w:tr>
        <w:trPr>
          <w:trHeight w:val="567"/>
        </w:trPr>
        <w:tc>
          <w:tcPr>
            <w:tcW w:type="dxa" w:w="3000"/>
          </w:tcPr>
          <w:p>
            <w:r>
              <w:t>Adresse bib.</w:t>
            </w:r>
          </w:p>
        </w:tc>
        <w:tc>
          <w:tcPr>
            <w:tcW w:type="dxa" w:w="7000"/>
          </w:tcPr>
          <w:p>
            <w:r>
              <w:t xml:space="preserve">Presses pplytechnique et universitaire romandes/ </w:t>
            </w:r>
          </w:p>
        </w:tc>
      </w:tr>
      <w:tr>
        <w:trPr>
          <w:trHeight w:val="567"/>
        </w:trPr>
        <w:tc>
          <w:tcPr>
            <w:tcW w:type="dxa" w:w="3000"/>
          </w:tcPr>
          <w:p>
            <w:r>
              <w:t>Nombre de Pages</w:t>
            </w:r>
          </w:p>
        </w:tc>
        <w:tc>
          <w:tcPr>
            <w:tcW w:type="dxa" w:w="7000"/>
          </w:tcPr>
          <w:p>
            <w:r>
              <w:t>84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Méthodes mathématiques pour l'ingénieur(N°:1)</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2880740169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annalyse mumérique/ </w:t>
            </w:r>
          </w:p>
        </w:tc>
      </w:tr>
    </w:tbl>
    <w:p>
      <w:pPr>
        <w:pStyle w:val="Heading3"/>
      </w:pPr>
      <w:r>
        <w:t>Résumé :</w:t>
      </w:r>
    </w:p>
    <w:p>
      <w:r>
        <w:t xml:space="preserve">La maîtrise de l'analyse numérique est devenue indispensable dans la formation scientifique en général, et en particulier dans celle des ingénieurs, puisqu'elle permet d'aborder et de résoudre des problèmes dont la solution est inimaginable par les méthodes analytiques classiques.  couvrant  notamment l'analyse d'erreurs, les racines d'équations algébriques, les systèmes d'équations linéaires et non linéaires, les techniques d'interpolation, la différentiation et l'intégration numériques ainsi que les systèmes d'équations différentielles ordinaires. </w:t>
        <w:br/>
        <w:br/>
        <w:t>L'auteur met l'accent sur la compréhension profonde des méthodes proposées plutôt que sur la programmation, en présentant chaque thème à l'aide d'exemples, de figures, de tableaux et d'applications.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