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Structures, comprendre les éléments finis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Chateauneuf; Alaa/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272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9782729854300</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adaptatif/ methode des elements finis/ </w:t>
            </w:r>
          </w:p>
        </w:tc>
      </w:tr>
    </w:tbl>
    <w:p>
      <w:pPr>
        <w:pStyle w:val="Heading3"/>
      </w:pPr>
      <w:r>
        <w:t>Résumé :</w:t>
      </w:r>
    </w:p>
    <w:p>
      <w:r>
        <w:t>Comprendre les éléments finis est indispensable pour l’analyse et la conception des structures. Avec plus de 50 exercices corrigés, l’ouvrage présente de façon claire, progressive et complète, les principes et les formulations de cette méthode, en s’appuyant sur des illustrations concrètes. Dans la première partie, sont d’abord exposés les principes de la méthode en partant de la construction des fonctions de forme, jusqu’à la formulation des éléments isoparamétriques. L’application aux éléments de structures est illustrée dans la deuxième partie par de nombreux exercices, résolus pas à pas pour assurer efficacement l’assimilation des connaissances et le développement des aptitudes opérationnelles chez le lecteur. Dans la troisième partie, la formulation est étendue au maillage adaptatif, au problème de champ, à la dynamique et à la non-linéarité.</w:t>
        <w:br/>
        <w:br/>
        <w:t>L’ouvrage s’adresse aux élèves-ingénieurs, aux ingénieurs en activité ou aux développeurs de codes de calcul, et constitue un support précieux pour les enseignants.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