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et géométries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Boyer, Pascal/ </w:t>
            </w:r>
          </w:p>
        </w:tc>
      </w:tr>
      <w:tr>
        <w:trPr>
          <w:trHeight w:val="567"/>
        </w:trPr>
        <w:tc>
          <w:tcPr>
            <w:tcW w:type="dxa" w:w="3000"/>
          </w:tcPr>
          <w:p>
            <w:r>
              <w:t>Adresse bib.</w:t>
            </w:r>
          </w:p>
        </w:tc>
        <w:tc>
          <w:tcPr>
            <w:tcW w:type="dxa" w:w="7000"/>
          </w:tcPr>
          <w:p>
            <w:r>
              <w:t xml:space="preserve">Calvage et Mounet/ </w:t>
            </w:r>
          </w:p>
        </w:tc>
      </w:tr>
      <w:tr>
        <w:trPr>
          <w:trHeight w:val="567"/>
        </w:trPr>
        <w:tc>
          <w:tcPr>
            <w:tcW w:type="dxa" w:w="3000"/>
          </w:tcPr>
          <w:p>
            <w:r>
              <w:t>Nombre de Pages</w:t>
            </w:r>
          </w:p>
        </w:tc>
        <w:tc>
          <w:tcPr>
            <w:tcW w:type="dxa" w:w="7000"/>
          </w:tcPr>
          <w:p>
            <w:r>
              <w:t>724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Tableau noir(N°:105)</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9782916352305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géométrie algébrique/ géométrie hyperbolique/ géométrie continue/ </w:t>
            </w:r>
          </w:p>
        </w:tc>
      </w:tr>
    </w:tbl>
    <w:p>
      <w:pPr>
        <w:pStyle w:val="Heading3"/>
      </w:pPr>
      <w:r>
        <w:t>Résumé :</w:t>
      </w:r>
    </w:p>
    <w:p>
      <w:r>
        <w:t>Les différentes géométries modernes sont abordées depuis la géométrie affine jusqu'à la géométrie hyperbolique en passant par les géométries euclidienne, projective et circulaire avec en toile de fond le programme d'Erlangen.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