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théorie des flammes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Champion, Michel/ Borghi, Roland/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402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399-402</w:t>
            </w:r>
          </w:p>
        </w:tc>
      </w:tr>
      <w:tr>
        <w:trPr>
          <w:trHeight w:val="567"/>
        </w:trPr>
        <w:tc>
          <w:tcPr>
            <w:tcW w:type="dxa" w:w="3000"/>
          </w:tcPr>
          <w:p>
            <w:r>
              <w:t>Numéro d'Identification</w:t>
            </w:r>
          </w:p>
        </w:tc>
        <w:tc>
          <w:tcPr>
            <w:tcW w:type="dxa" w:w="7000"/>
          </w:tcPr>
          <w:p>
            <w:r>
              <w:t>2710807580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moyenne de favre/ </w:t>
            </w:r>
          </w:p>
        </w:tc>
      </w:tr>
    </w:tbl>
    <w:p>
      <w:pPr>
        <w:pStyle w:val="Heading3"/>
      </w:pPr>
      <w:r>
        <w:t>Résumé :</w:t>
      </w:r>
    </w:p>
    <w:p>
      <w:r>
        <w:t>Cet ouvrage sera utile aux étudiants de troisième cycle et des écoles d'ingénieurs spécialisées, ainsi qu'aux ingénieurs impliqués dans la modélisation des chambres de combustion pour la propulsion ou la production d'énergie.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