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Exercices corrigés de synthèse organique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Arnaud, Christian/ </w:t>
            </w:r>
          </w:p>
        </w:tc>
      </w:tr>
      <w:tr>
        <w:trPr>
          <w:trHeight w:val="567"/>
        </w:trPr>
        <w:tc>
          <w:tcPr>
            <w:tcW w:type="dxa" w:w="3000"/>
          </w:tcPr>
          <w:p>
            <w:r>
              <w:t>Edition</w:t>
            </w:r>
          </w:p>
        </w:tc>
        <w:tc>
          <w:tcPr>
            <w:tcW w:type="dxa" w:w="7000"/>
          </w:tcPr>
          <w:p>
            <w:r>
              <w:t>2eme éd.</w:t>
            </w:r>
          </w:p>
        </w:tc>
      </w:tr>
      <w:tr>
        <w:trPr>
          <w:trHeight w:val="567"/>
        </w:trPr>
        <w:tc>
          <w:tcPr>
            <w:tcW w:type="dxa" w:w="3000"/>
          </w:tcPr>
          <w:p>
            <w:r>
              <w:t>Adresse bib.</w:t>
            </w:r>
          </w:p>
        </w:tc>
        <w:tc>
          <w:tcPr>
            <w:tcW w:type="dxa" w:w="7000"/>
          </w:tcPr>
          <w:p>
            <w:r>
              <w:t xml:space="preserve">Masson/ </w:t>
            </w:r>
          </w:p>
        </w:tc>
      </w:tr>
      <w:tr>
        <w:trPr>
          <w:trHeight w:val="567"/>
        </w:trPr>
        <w:tc>
          <w:tcPr>
            <w:tcW w:type="dxa" w:w="3000"/>
          </w:tcPr>
          <w:p>
            <w:r>
              <w:t>Nombre de Pages</w:t>
            </w:r>
          </w:p>
        </w:tc>
        <w:tc>
          <w:tcPr>
            <w:tcW w:type="dxa" w:w="7000"/>
          </w:tcPr>
          <w:p>
            <w:r>
              <w:t>XIV-321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24 cm</w:t>
            </w:r>
          </w:p>
        </w:tc>
      </w:tr>
      <w:tr>
        <w:trPr>
          <w:trHeight w:val="567"/>
        </w:trPr>
        <w:tc>
          <w:tcPr>
            <w:tcW w:type="dxa" w:w="3000"/>
          </w:tcPr>
          <w:p>
            <w:r>
              <w:t>Collection</w:t>
            </w:r>
          </w:p>
        </w:tc>
        <w:tc>
          <w:tcPr>
            <w:tcW w:type="dxa" w:w="7000"/>
          </w:tcPr>
          <w:p>
            <w:r>
              <w:t>Enseignement de la chimie(N°:None)</w:t>
            </w:r>
          </w:p>
        </w:tc>
      </w:tr>
      <w:tr>
        <w:trPr>
          <w:trHeight w:val="567"/>
        </w:trPr>
        <w:tc>
          <w:tcPr>
            <w:tcW w:type="dxa" w:w="3000"/>
          </w:tcPr>
          <w:p>
            <w:r>
              <w:t>Numéro d'Identification</w:t>
            </w:r>
          </w:p>
        </w:tc>
        <w:tc>
          <w:tcPr>
            <w:tcW w:type="dxa" w:w="7000"/>
          </w:tcPr>
          <w:p>
            <w:r>
              <w:t>2225832870</w:t>
            </w:r>
          </w:p>
        </w:tc>
      </w:tr>
      <w:tr>
        <w:trPr>
          <w:trHeight w:val="567"/>
        </w:trPr>
        <w:tc>
          <w:tcPr>
            <w:tcW w:type="dxa" w:w="3000"/>
          </w:tcPr>
          <w:p>
            <w:r>
              <w:t>Thème</w:t>
            </w:r>
          </w:p>
        </w:tc>
        <w:tc>
          <w:tcPr>
            <w:tcW w:type="dxa" w:w="7000"/>
          </w:tcPr>
          <w:p>
            <w:r>
              <w:t>chimie</w:t>
            </w:r>
          </w:p>
        </w:tc>
      </w:tr>
      <w:tr>
        <w:trPr>
          <w:trHeight w:val="567"/>
        </w:trPr>
        <w:tc>
          <w:tcPr>
            <w:tcW w:type="dxa" w:w="3000"/>
          </w:tcPr>
          <w:p>
            <w:r>
              <w:t>Classification(s)</w:t>
            </w:r>
          </w:p>
        </w:tc>
        <w:tc>
          <w:tcPr>
            <w:tcW w:type="dxa" w:w="7000"/>
          </w:tcPr>
          <w:p>
            <w:r>
              <w:t xml:space="preserve">540 / </w:t>
            </w:r>
          </w:p>
        </w:tc>
      </w:tr>
      <w:tr>
        <w:trPr>
          <w:trHeight w:val="567"/>
        </w:trPr>
        <w:tc>
          <w:tcPr>
            <w:tcW w:type="dxa" w:w="3000"/>
          </w:tcPr>
          <w:p>
            <w:r>
              <w:t>Sujet(s)</w:t>
            </w:r>
          </w:p>
        </w:tc>
        <w:tc>
          <w:tcPr>
            <w:tcW w:type="dxa" w:w="7000"/>
          </w:tcPr>
          <w:p>
            <w:r>
              <w:t xml:space="preserve">synthèse organique/ chimie organique/ </w:t>
            </w:r>
          </w:p>
        </w:tc>
      </w:tr>
    </w:tbl>
    <w:p>
      <w:pPr>
        <w:pStyle w:val="Heading3"/>
      </w:pPr>
      <w:r>
        <w:t>Résumé :</w:t>
      </w:r>
    </w:p>
    <w:p>
      <w:r>
        <w:t>Ce recueil d'apprentissage des fondements de la synthèse organique propose des exercices de forces différentes, marquées *, ** ou ***, tous corrigés. Chaque énoncé est suivi de sa solution commentée. L'ouvrage permet ainsi à l'étudiant d'acquérir des connaissances solides et maîtrisées en un domaine réputé difficile. La méthode d'approche choisie est celle de l'étude par fonctions. Un index abondant, une table des matières détaillée et des mots-clefs mis en exergue fournissent les articulations nécessaires pour passer, au besoin, de l'approche par fonctions à l'approche par créations de liaisons et mécanismes. Les exercices de premier niveau (*) constituent un rappel des bases essentielles : ils font appel à des connaissances déjà acquises en classes préparatoires, en DEUG ou en IUT. Le deuxième niveau (**) correspond à un bon niveau de licence ou de première année d'école d'ingénieurs. Le troisième et dernier niveau (***) signale un approfondissement plus marqué des connaissances, un début de spécialisation. Le public: • Etudiants en licence et en maîtrise. • Elèves des écoles d'ingénieurs.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