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 structurale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Ayadim, Mohamed/ </w:t>
            </w:r>
          </w:p>
        </w:tc>
      </w:tr>
      <w:tr>
        <w:trPr>
          <w:trHeight w:val="567"/>
        </w:trPr>
        <w:tc>
          <w:tcPr>
            <w:tcW w:type="dxa" w:w="3000"/>
          </w:tcPr>
          <w:p>
            <w:r>
              <w:t>Adresse bib.</w:t>
            </w:r>
          </w:p>
        </w:tc>
        <w:tc>
          <w:tcPr>
            <w:tcW w:type="dxa" w:w="7000"/>
          </w:tcPr>
          <w:p>
            <w:r>
              <w:t xml:space="preserve">Presses universitaires de Louvain/ </w:t>
            </w:r>
          </w:p>
        </w:tc>
      </w:tr>
      <w:tr>
        <w:trPr>
          <w:trHeight w:val="567"/>
        </w:trPr>
        <w:tc>
          <w:tcPr>
            <w:tcW w:type="dxa" w:w="3000"/>
          </w:tcPr>
          <w:p>
            <w:r>
              <w:t>Nombre de Pages</w:t>
            </w:r>
          </w:p>
        </w:tc>
        <w:tc>
          <w:tcPr>
            <w:tcW w:type="dxa" w:w="7000"/>
          </w:tcPr>
          <w:p>
            <w:r>
              <w:t>161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universitaires(N°:None)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9782875582584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organique/ configuration absolue/ </w:t>
            </w:r>
          </w:p>
        </w:tc>
      </w:tr>
    </w:tbl>
    <w:p>
      <w:pPr>
        <w:pStyle w:val="Heading3"/>
      </w:pPr>
      <w:r>
        <w:t>Résumé :</w:t>
      </w:r>
    </w:p>
    <w:p>
      <w:r>
        <w:t>Cet ouvrage destiné au  les étudiants qui abordent les sciences à la fin des études secondaires ou au début de l'enseignement supérieur ont des difficultés à se représenter l'aspect "3D" de la chimie organique. Or, il est fondamental, d'une part, de maîtriser la construction des molécules dans l'espace, au besoin en utilisant des modèles pour construire soi-même ces chaînes moléculaires et, d'autre part, de comprendre les secrets de la relation entre la structure spatiale de certaines molécules et leur activité biologique ou leurs propriétés physiques. Ce livre est le fruit d'une réflexion pédagogique et d'un apprentissage-enseignement sur le terrain. Il allie l'approfondissement théorique de la matière avec le côté tactile indispensable à l'activation de la mémoire visuelle. Il contient des problèmes et des exercices QCM variés, rarement répétitifs pour ne pas décourager l'apprenant, visant à l'acquisition des bons réflexes, afin de rendre la chimie organique structurale non seulement tangible mais passionnante. Du même coup, il est un outil efficace pour la transition entre le secondaire et le supérieur.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