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Ayadim, Mohamed/ Habib Jiwan, Jean-Louis/ </w:t>
            </w:r>
          </w:p>
        </w:tc>
      </w:tr>
      <w:tr>
        <w:trPr>
          <w:trHeight w:val="567"/>
        </w:trPr>
        <w:tc>
          <w:tcPr>
            <w:tcW w:type="dxa" w:w="3000"/>
          </w:tcPr>
          <w:p>
            <w:r>
              <w:t>Adresse bib.</w:t>
            </w:r>
          </w:p>
        </w:tc>
        <w:tc>
          <w:tcPr>
            <w:tcW w:type="dxa" w:w="7000"/>
          </w:tcPr>
          <w:p>
            <w:r>
              <w:t xml:space="preserve">Presses universitaires de Louvain/ </w:t>
            </w:r>
          </w:p>
        </w:tc>
      </w:tr>
      <w:tr>
        <w:trPr>
          <w:trHeight w:val="567"/>
        </w:trPr>
        <w:tc>
          <w:tcPr>
            <w:tcW w:type="dxa" w:w="3000"/>
          </w:tcPr>
          <w:p>
            <w:r>
              <w:t>Nombre de Pages</w:t>
            </w:r>
          </w:p>
        </w:tc>
        <w:tc>
          <w:tcPr>
            <w:tcW w:type="dxa" w:w="7000"/>
          </w:tcPr>
          <w:p>
            <w:r>
              <w:t>375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universitaires(N°:None)</w:t>
            </w:r>
          </w:p>
        </w:tc>
      </w:tr>
      <w:tr>
        <w:trPr>
          <w:trHeight w:val="567"/>
        </w:trPr>
        <w:tc>
          <w:tcPr>
            <w:tcW w:type="dxa" w:w="3000"/>
          </w:tcPr>
          <w:p>
            <w:r>
              <w:t>Notes Générales</w:t>
            </w:r>
          </w:p>
        </w:tc>
        <w:tc>
          <w:tcPr>
            <w:tcW w:type="dxa" w:w="7000"/>
          </w:tcPr>
          <w:p>
            <w:r>
              <w:t>Annexe p.p 365-375</w:t>
            </w:r>
          </w:p>
        </w:tc>
      </w:tr>
      <w:tr>
        <w:trPr>
          <w:trHeight w:val="567"/>
        </w:trPr>
        <w:tc>
          <w:tcPr>
            <w:tcW w:type="dxa" w:w="3000"/>
          </w:tcPr>
          <w:p>
            <w:r>
              <w:t>Numéro d'Identification</w:t>
            </w:r>
          </w:p>
        </w:tc>
        <w:tc>
          <w:tcPr>
            <w:tcW w:type="dxa" w:w="7000"/>
          </w:tcPr>
          <w:p>
            <w:r>
              <w:t>9782875582140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modèle quantique/ moment dipolaire/ </w:t>
            </w:r>
          </w:p>
        </w:tc>
      </w:tr>
    </w:tbl>
    <w:p>
      <w:pPr>
        <w:pStyle w:val="Heading3"/>
      </w:pPr>
      <w:r>
        <w:t>Résumé :</w:t>
      </w:r>
    </w:p>
    <w:p>
      <w:r>
        <w:t>Cet ouvrage permet à l'étudiant d'aborder rationnellement et de manière très simple les diverses parties de la chimie générale. Il lui fait découvrir sans détails superflus les concepts de base de la chimie tout en donnant de l'importance à la réactivité des substances. Les 16 chapitres s'intègrent dans une logique progressive. Par exemple, le comportement des particules ne peut s'expliquer de façon claire qu'après avoir abordé la classification périodique, la liaison chimique et la thermodynamique.</w:t>
        <w:br/>
        <w:br/>
        <w:t>En outre, la présentation d'exercices sous forme de questionnaires à choix multiples (QCM), avec les corrigés à la fin de chacun des chapitres, encourage la réflexion auprès des étudiants et facilite la maîtrise de la matière et l'acquisition des connaissances. Ce livre est un outil efficace pour les étudiants en sciences médicales, en sciences dentaires, en sciences biomédicales, en sciences chimiques, en pharmacie et plus généralement pour les étudiants en sciences du cycle non universitaire.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