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Asymmetric synthesis with chemical and biological methods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Jaeger, Karl-Erich/ Enders, Dieter/ </w:t>
            </w:r>
          </w:p>
        </w:tc>
      </w:tr>
      <w:tr>
        <w:trPr>
          <w:trHeight w:val="567"/>
        </w:trPr>
        <w:tc>
          <w:tcPr>
            <w:tcW w:type="dxa" w:w="3000"/>
          </w:tcPr>
          <w:p>
            <w:r>
              <w:t>Adresse bib.</w:t>
            </w:r>
          </w:p>
        </w:tc>
        <w:tc>
          <w:tcPr>
            <w:tcW w:type="dxa" w:w="7000"/>
          </w:tcPr>
          <w:p>
            <w:r>
              <w:t xml:space="preserve">Wiley-VCH/ </w:t>
            </w:r>
          </w:p>
        </w:tc>
      </w:tr>
      <w:tr>
        <w:trPr>
          <w:trHeight w:val="567"/>
        </w:trPr>
        <w:tc>
          <w:tcPr>
            <w:tcW w:type="dxa" w:w="3000"/>
          </w:tcPr>
          <w:p>
            <w:r>
              <w:t>Nombre de Pages</w:t>
            </w:r>
          </w:p>
        </w:tc>
        <w:tc>
          <w:tcPr>
            <w:tcW w:type="dxa" w:w="7000"/>
          </w:tcPr>
          <w:p>
            <w:r>
              <w:t>445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435-445</w:t>
            </w:r>
          </w:p>
        </w:tc>
      </w:tr>
      <w:tr>
        <w:trPr>
          <w:trHeight w:val="567"/>
        </w:trPr>
        <w:tc>
          <w:tcPr>
            <w:tcW w:type="dxa" w:w="3000"/>
          </w:tcPr>
          <w:p>
            <w:r>
              <w:t>Numéro d'Identification</w:t>
            </w:r>
          </w:p>
        </w:tc>
        <w:tc>
          <w:tcPr>
            <w:tcW w:type="dxa" w:w="7000"/>
          </w:tcPr>
          <w:p>
            <w:r>
              <w:t>9783527314737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biological/ chemical/ </w:t>
            </w:r>
          </w:p>
        </w:tc>
      </w:tr>
    </w:tbl>
    <w:p>
      <w:pPr>
        <w:pStyle w:val="Heading3"/>
      </w:pPr>
      <w:r>
        <w:t>Résumé :</w:t>
      </w:r>
    </w:p>
    <w:p>
      <w:r>
        <w:t>This Book provides a deep, interdisciplinary insight into stoichiometric and catalytic reactions in this continuously expanding area. A plethora of top German scientists with an international reputation covers various aspects, from classical organic chemistry to process development, and from the theoretical background to biological methods using enzymes. Throughout the focus is on the development of new synthetic methods in asymmetric synthesis, the synthesis of natural and bioactive compounds and the latest developments in both chemical and biological methods of catalysis, as well as the investigation of special technical and biotechnical aspects.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