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Golden differential calculus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Bali, N.P./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1079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maths series(N°:None)</w:t>
            </w:r>
          </w:p>
        </w:tc>
      </w:tr>
      <w:tr>
        <w:trPr>
          <w:trHeight w:val="567"/>
        </w:trPr>
        <w:tc>
          <w:tcPr>
            <w:tcW w:type="dxa" w:w="3000"/>
          </w:tcPr>
          <w:p>
            <w:r>
              <w:t>Numéro d'Identification</w:t>
            </w:r>
          </w:p>
        </w:tc>
        <w:tc>
          <w:tcPr>
            <w:tcW w:type="dxa" w:w="7000"/>
          </w:tcPr>
          <w:p>
            <w:r>
              <w:t>8170081521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différentiel/ </w:t>
            </w:r>
          </w:p>
        </w:tc>
      </w:tr>
    </w:tbl>
    <w:p>
      <w:pPr>
        <w:pStyle w:val="Heading3"/>
      </w:pPr>
      <w:r>
        <w:t>Résumé :</w:t>
      </w:r>
    </w:p>
    <w:p>
      <w:r>
        <w:t>Le calcul différentiel est un domaine de la mathématique qui étudie les changements et les taux de changement des fonctions au fil du temps. Il est utilisé pour déterminer les maximas et minimas de fonctions, les courbes tangentes et les tangentes aux surfaces, ainsi que pour comprendre les mouvements des objets dans l'espace.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