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Flash, professional CC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Studio Factory(N°:None)</w:t>
            </w:r>
          </w:p>
        </w:tc>
      </w:tr>
      <w:tr>
        <w:trPr>
          <w:trHeight w:val="567"/>
        </w:trPr>
        <w:tc>
          <w:tcPr>
            <w:tcW w:type="dxa" w:w="3000"/>
          </w:tcPr>
          <w:p>
            <w:r>
              <w:t>Notes Générales</w:t>
            </w:r>
          </w:p>
        </w:tc>
        <w:tc>
          <w:tcPr>
            <w:tcW w:type="dxa" w:w="7000"/>
          </w:tcPr>
          <w:p>
            <w:r>
              <w:t>Index p.p. 393-399</w:t>
            </w:r>
          </w:p>
        </w:tc>
      </w:tr>
      <w:tr>
        <w:trPr>
          <w:trHeight w:val="567"/>
        </w:trPr>
        <w:tc>
          <w:tcPr>
            <w:tcW w:type="dxa" w:w="3000"/>
          </w:tcPr>
          <w:p>
            <w:r>
              <w:t>Numéro d'Identification</w:t>
            </w:r>
          </w:p>
        </w:tc>
        <w:tc>
          <w:tcPr>
            <w:tcW w:type="dxa" w:w="7000"/>
          </w:tcPr>
          <w:p>
            <w:r>
              <w:t>9782746086814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conception d'animation/ imbrication d'animation/ </w:t>
            </w:r>
          </w:p>
        </w:tc>
      </w:tr>
    </w:tbl>
    <w:p>
      <w:pPr>
        <w:pStyle w:val="Heading3"/>
      </w:pPr>
      <w:r>
        <w:t>Résumé :</w:t>
      </w:r>
    </w:p>
    <w:p>
      <w:r>
        <w:t>Ce manuel détaille l'ensemble des fonctionnalités de la version cloud du logiciel d'Adobe permettant la création d'animations multimédia pour Internet. La première partie aborde l'interface, l'environnement et les techniques de création de visuels. La seconde partie est consacrée aux techniques d'animation.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