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des milieux continus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Thual, Olivier/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Polytech(N°:None)</w:t>
            </w:r>
          </w:p>
        </w:tc>
      </w:tr>
      <w:tr>
        <w:trPr>
          <w:trHeight w:val="567"/>
        </w:trPr>
        <w:tc>
          <w:tcPr>
            <w:tcW w:type="dxa" w:w="3000"/>
          </w:tcPr>
          <w:p>
            <w:r>
              <w:t>Notes Générales</w:t>
            </w:r>
          </w:p>
        </w:tc>
        <w:tc>
          <w:tcPr>
            <w:tcW w:type="dxa" w:w="7000"/>
          </w:tcPr>
          <w:p>
            <w:r>
              <w:t>Bibliogr. p. p. 237-239</w:t>
            </w:r>
          </w:p>
        </w:tc>
      </w:tr>
      <w:tr>
        <w:trPr>
          <w:trHeight w:val="567"/>
        </w:trPr>
        <w:tc>
          <w:tcPr>
            <w:tcW w:type="dxa" w:w="3000"/>
          </w:tcPr>
          <w:p>
            <w:r>
              <w:t>Numéro d'Identification</w:t>
            </w:r>
          </w:p>
        </w:tc>
        <w:tc>
          <w:tcPr>
            <w:tcW w:type="dxa" w:w="7000"/>
          </w:tcPr>
          <w:p>
            <w:r>
              <w:t>2854284550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élasticité linéaire/ fluide/ </w:t>
            </w:r>
          </w:p>
        </w:tc>
      </w:tr>
    </w:tbl>
    <w:p>
      <w:pPr>
        <w:pStyle w:val="Heading3"/>
      </w:pPr>
      <w:r>
        <w:t>Résumé :</w:t>
      </w:r>
    </w:p>
    <w:p>
      <w:r>
        <w:t>L'objectif de mécanique des milieux continus est à la base des cours d'élasticité, de mécanique des fluides et de rhéologie,  d'établir les équations de Lamé (élasticité) et de Navier Stockes (mécanique des fluides), en comparant ainsi deux types de lois de comportement (rhéologie).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