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d'éléments finis pour les problèmes de coques minces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Bernadou, Michel/ </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Recherches en mathématiques appliquées(N°:None)</w:t>
            </w:r>
          </w:p>
        </w:tc>
      </w:tr>
      <w:tr>
        <w:trPr>
          <w:trHeight w:val="567"/>
        </w:trPr>
        <w:tc>
          <w:tcPr>
            <w:tcW w:type="dxa" w:w="3000"/>
          </w:tcPr>
          <w:p>
            <w:r>
              <w:t>Numéro d'Identification</w:t>
            </w:r>
          </w:p>
        </w:tc>
        <w:tc>
          <w:tcPr>
            <w:tcW w:type="dxa" w:w="7000"/>
          </w:tcPr>
          <w:p>
            <w:r>
              <w:t>2225844380</w:t>
            </w:r>
          </w:p>
        </w:tc>
      </w:tr>
      <w:tr>
        <w:trPr>
          <w:trHeight w:val="567"/>
        </w:trPr>
        <w:tc>
          <w:tcPr>
            <w:tcW w:type="dxa" w:w="3000"/>
          </w:tcPr>
          <w:p>
            <w:r>
              <w:t>Sujet(s)</w:t>
            </w:r>
          </w:p>
        </w:tc>
        <w:tc>
          <w:tcPr>
            <w:tcW w:type="dxa" w:w="7000"/>
          </w:tcPr>
          <w:p>
            <w:r>
              <w:t xml:space="preserve">mécanique/ électricité/ </w:t>
            </w:r>
          </w:p>
        </w:tc>
      </w:tr>
    </w:tbl>
    <w:p>
      <w:pPr>
        <w:pStyle w:val="Heading3"/>
      </w:pPr>
      <w:r>
        <w:t>Résumé :</w:t>
      </w:r>
    </w:p>
    <w:p>
      <w:r>
        <w:t>Répond à deux objectifs : analyser mathématiquement l'existence de solutions aux problèmes de coques minces et obtenir leur approximation par les principales méthodes d'éléments finis appropriées, puis décrire précisément comment implémenter ces méthodes d'approximation et comment les utiliser dans l'industrie. Nombreux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