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Amatore, Christian/ Blanzat, Bernard/ Académie des sciences (France)/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Rapport sur la science et la technologie(N°:6)</w:t>
            </w:r>
          </w:p>
        </w:tc>
      </w:tr>
      <w:tr>
        <w:trPr>
          <w:trHeight w:val="567"/>
        </w:trPr>
        <w:tc>
          <w:tcPr>
            <w:tcW w:type="dxa" w:w="3000"/>
          </w:tcPr>
          <w:p>
            <w:r>
              <w:t>Numéro d'Identification</w:t>
            </w:r>
          </w:p>
        </w:tc>
        <w:tc>
          <w:tcPr>
            <w:tcW w:type="dxa" w:w="7000"/>
          </w:tcPr>
          <w:p>
            <w:r>
              <w:t>2743004010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analytique/ métrologie/ </w:t>
            </w:r>
          </w:p>
        </w:tc>
      </w:tr>
    </w:tbl>
    <w:p>
      <w:pPr>
        <w:pStyle w:val="Heading3"/>
      </w:pPr>
      <w:r>
        <w:t>Résumé :</w:t>
      </w:r>
    </w:p>
    <w:p>
      <w:r>
        <w:t>Point sur la définition de la chimie analytique, sur sa place au regard des demandes de la société, sur ses champs d'action, ses méthodes et ses outils. Exemples d'applications dans des domaines variés.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