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géométrie différentielle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Aimé,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x 18 cm</w:t>
            </w:r>
          </w:p>
        </w:tc>
      </w:tr>
      <w:tr>
        <w:trPr>
          <w:trHeight w:val="567"/>
        </w:trPr>
        <w:tc>
          <w:tcPr>
            <w:tcW w:type="dxa" w:w="3000"/>
          </w:tcPr>
          <w:p>
            <w:r>
              <w:t>Collection</w:t>
            </w:r>
          </w:p>
        </w:tc>
        <w:tc>
          <w:tcPr>
            <w:tcW w:type="dxa" w:w="7000"/>
          </w:tcPr>
          <w:p>
            <w:r>
              <w:t>Universités(N°:None)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2729879390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topologie/ algébre/ </w:t>
            </w:r>
          </w:p>
        </w:tc>
      </w:tr>
    </w:tbl>
    <w:p>
      <w:pPr>
        <w:pStyle w:val="Heading3"/>
      </w:pPr>
      <w:r>
        <w:t>Résumé :</w:t>
      </w:r>
    </w:p>
    <w:p>
      <w:r>
        <w:t>Aspect algébrique des tenseurs dans un espace de dimension finie et notion de forme bilinéaire antisymétrique. Courbes, surfaces et volumes. Calcul différentiel d'ordre deux sur une surface. Mécanique classique et relativiste du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