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Concevoir et programmer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D'anfary,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p.p.545-548. Index p.p. 549-552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9782729873257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programmation/ classe vecteur/ c++/ </w:t>
            </w:r>
          </w:p>
        </w:tc>
      </w:tr>
    </w:tbl>
    <w:p>
      <w:pPr>
        <w:pStyle w:val="Heading3"/>
      </w:pPr>
      <w:r>
        <w:t>Résumé :</w:t>
      </w:r>
    </w:p>
    <w:p>
      <w:r>
        <w:t>Ce livre est à la fois un ouvrage d'enseignement et un guide d'utilisation du langage destiné aux élèves ingénieurs, mais aussi à tous les développeurs qui travaillent dans le domaine des applications scientifiques.</w:t>
        <w:br/>
        <w:br/>
        <w:t>Le lecteur y trouvera une méthodologie simple pour apprendre à "penser Objet", puis une présentation pas à pas de la programmation objet qui mêle conseils méthodologiques, détails du langage C++ et techniques de programmation.</w:t>
        <w:br/>
        <w:br/>
        <w:t>Si la lecture de ce livre suppose une honnête connaissance du langage C, une partie est aussi consacrée à la "transition C-C++" avec de nombreux rappels utiles.</w:t>
        <w:br/>
        <w:br/>
        <w:t>L'approche privilégiée dans cet ouvrage vise à considérer C++ comme un nouveau langage, permettant de mettre en oeuvre la méthodologie objet, et non comme un sur-langage de C qui, lui, reste l'outil disponible et indispensable pour "implémenter" efficacement les objets.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