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Spectroscopies infrarouge et raman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Poilblanc; René/ Crasnier;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Grenoble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637-442. Index p.p 643-663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2868837441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Spectroscopie infrarouge/ spectroscopie raman/ </w:t>
            </w:r>
          </w:p>
        </w:tc>
      </w:tr>
    </w:tbl>
    <w:p>
      <w:pPr>
        <w:pStyle w:val="Heading3"/>
      </w:pPr>
      <w:r>
        <w:t>Résumé :</w:t>
      </w:r>
    </w:p>
    <w:p>
      <w:r>
        <w:t>Etude sur les ions et molécules de haute symétrie qui s'étend aux cristaux, donc aux traitements des solides. L'exposé des questions fondamentales est construit à partir d'exemples et d'exercices avec leurs corrigées. Des incursions permettent l'acquisition de compétences pratiques de spectroscopie. Les prérequis et les objectifs sont indiqués à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