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Lobenberg, Michel/ Ayres, Frank JR./ </w:t>
            </w:r>
          </w:p>
        </w:tc>
      </w:tr>
      <w:tr>
        <w:trPr>
          <w:trHeight w:val="567"/>
        </w:trPr>
        <w:tc>
          <w:tcPr>
            <w:tcW w:type="dxa" w:w="3000"/>
          </w:tcPr>
          <w:p>
            <w:r>
              <w:t>Adresse bib.</w:t>
            </w:r>
          </w:p>
        </w:tc>
        <w:tc>
          <w:tcPr>
            <w:tcW w:type="dxa" w:w="7000"/>
          </w:tcPr>
          <w:p>
            <w:r>
              <w:t xml:space="preserve">McGraw-Hill Computing Essentials/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2704210152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L'algèbre au sens moderne, à savoir l'étude des structures algébriques indépendamment de leurs réalisations concrètes, ne s'est dégagée que très progressivement au cours du xixe siècle, en liaison avec le mouvement général d'axiomatisation de l'ensemble des mathématiques et la préoccupation croissante des mathématiciens de « substituer les idées au calcul » ; jusqu'alors, le propos essentiel de l'algèbre avait été la résolution, par des formules explicites, des équations algébriques. Les tentatives infructueuses pour résoudre les équations générales de degré supérieur ou égal à cinq, ainsi que les problèmes de la théorie des nombres, conduisirent alors les mathématiciens à introduire des êtres mathématiques de nature nouvelle qui présentaient entre eux des analogies étroites dans leur maniement et par suite à ressentir le besoin de dégager ce qui pouvait être commun à toutes ces situations. Ils furent ainsi amenés à penser que la « nature » des objets mathématiques étudiés est au fond secondaire, et le mathématicien anglais George Boole pouvait déclarer en 1847 : « La mathématique traite les opérations considérées en elles-mêmes, indépendamment des matières diverses auxquelles elles peuvent être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