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moderne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Lobenberg, Michel/ Ayres, Frank JR./ </w:t>
            </w:r>
          </w:p>
        </w:tc>
      </w:tr>
      <w:tr>
        <w:trPr>
          <w:trHeight w:val="567"/>
        </w:trPr>
        <w:tc>
          <w:tcPr>
            <w:tcW w:type="dxa" w:w="3000"/>
          </w:tcPr>
          <w:p>
            <w:r>
              <w:t>Adresse bib.</w:t>
            </w:r>
          </w:p>
        </w:tc>
        <w:tc>
          <w:tcPr>
            <w:tcW w:type="dxa" w:w="7000"/>
          </w:tcPr>
          <w:p>
            <w:r>
              <w:t xml:space="preserve">McGraw-Hill Computing Essentials/ </w:t>
            </w:r>
          </w:p>
        </w:tc>
      </w:tr>
      <w:tr>
        <w:trPr>
          <w:trHeight w:val="567"/>
        </w:trPr>
        <w:tc>
          <w:tcPr>
            <w:tcW w:type="dxa" w:w="3000"/>
          </w:tcPr>
          <w:p>
            <w:r>
              <w:t>Nombre de Pages</w:t>
            </w:r>
          </w:p>
        </w:tc>
        <w:tc>
          <w:tcPr>
            <w:tcW w:type="dxa" w:w="7000"/>
          </w:tcPr>
          <w:p>
            <w:r>
              <w:t>247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Série Schaum(N°:None)</w:t>
            </w:r>
          </w:p>
        </w:tc>
      </w:tr>
      <w:tr>
        <w:trPr>
          <w:trHeight w:val="567"/>
        </w:trPr>
        <w:tc>
          <w:tcPr>
            <w:tcW w:type="dxa" w:w="3000"/>
          </w:tcPr>
          <w:p>
            <w:r>
              <w:t>Numéro d'Identification</w:t>
            </w:r>
          </w:p>
        </w:tc>
        <w:tc>
          <w:tcPr>
            <w:tcW w:type="dxa" w:w="7000"/>
          </w:tcPr>
          <w:p>
            <w:r>
              <w:t>2704210152</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algébre/ </w:t>
            </w:r>
          </w:p>
        </w:tc>
      </w:tr>
    </w:tbl>
    <w:p>
      <w:pPr>
        <w:pStyle w:val="Heading3"/>
      </w:pPr>
      <w:r>
        <w:t>Résumé :</w:t>
      </w:r>
    </w:p>
    <w:p>
      <w:r>
        <w:t>L'algèbre au sens moderne, à savoir l'étude des structures algébriques indépendamment de leurs réalisations concrètes, ne s'est dégagée que très progressivement au cours du xixe siècle, en liaison avec le mouvement général d'axiomatisation de l'ensemble des mathématiques et la préoccupation croissante des mathématiciens de « substituer les idées au calcul » ; jusqu'alors, le propos essentiel de l'algèbre avait été la résolution, par des formules explicites, des équations algébriques. Les tentatives infructueuses pour résoudre les équations générales de degré supérieur ou égal à cinq, ainsi que les problèmes de la théorie des nombres, conduisirent alors les mathématiciens à introduire des êtres mathématiques de nature nouvelle qui présentaient entre eux des analogies étroites dans leur maniement et par suite à ressentir le besoin de dégager ce qui pouvait être commun à toutes ces situations. Ils furent ainsi amenés à penser que la « nature » des objets mathématiques étudiés est au fond secondaire, et le mathématicien anglais George Boole pouvait déclarer en 1847 : « La mathématique traite les opérations considérées en elles-mêmes, indépendamment des matières diverses auxquelles elles peuvent être appliquées.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