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Pommier, Sylvie/ Berthaud,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9782100513567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torseur dynamique/ </w:t>
            </w:r>
          </w:p>
        </w:tc>
      </w:tr>
    </w:tbl>
    <w:p>
      <w:pPr>
        <w:pStyle w:val="Heading3"/>
      </w:pPr>
      <w:r>
        <w:t>Résumé :</w:t>
      </w:r>
    </w:p>
    <w:p>
      <w:r>
        <w:t>Cet ouvrage est destiné aux élèves ingénieurs, aux étudiants en Master de physique ou de sciences de l'ingénieur et aux candidats au Capes ou à l'agrégation de physique et de mécanique. II traite tout particulièrement des principes de conservation (masse, cinétique, quantité de mouvement et énergie) et permet aussi d'approfondir ses connaissances dans les domaines de la dynamique et des puissances virtuelles, des actions, des liaisons et de la statique. Les notions fondamentales sont illustrées par de nombreux exemples et applications issus du monde industriel. Le cours est complété par des exercices et des problèmes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