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Rax; Jean-Marcel/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9782807306936</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énergie/ </w:t>
            </w:r>
          </w:p>
        </w:tc>
      </w:tr>
    </w:tbl>
    <w:p>
      <w:pPr>
        <w:pStyle w:val="Heading3"/>
      </w:pPr>
      <w:r>
        <w:t>Résumé :</w:t>
      </w:r>
    </w:p>
    <w:p>
      <w:r>
        <w:t>Ce manuel vise à offrir aux étudiants en Licence 3 et Master de physique, aux candidats aux concours de l'enseignement et aux élèves des écoles d'ingénieurs, un cours moderne et complet d'électromagnétisme et d'électrodynamique dans la matière et les circuits. Il est issu de nombreux cours enseignés par l'auteur principalement à l'ENS de Cachan (EEA), à l'Ecole polytechnique, à l'Ecole supérieure d'optique (Master-OSI) et dans les différentes filières de Physique fondamentale, Physique appliquée et EEA de l'université Paris XI (L3-M1-M2).</w:t>
        <w:br/>
        <w:br/>
        <w:t>Les principes et applications de l'électromagnétisme sont présentés suivant quatre axes principaux : l'analyse des équations de Maxwell, la description des propriétés conductrice, diélectrique et magnétique de la matière, l'étude des structures capacitives et inductives localisées et réparties, l'approfondissement de l'énergétique et de la thermodynamique de ces milieux et structures. De nombreux exercices et problèmes corrigés complètent ce 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