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aspects de la compatibilité électromagnétique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Oussaid, Rachid/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9789961012505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électromagnétique/ compatibilité/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le résultat de plusieurs années d'investigation en recherche et d'enseignement en post graduation. l'objectif d'écrire ce livre qui fournira au lecteur une compréhension à des problèmes réels auxquels sont confrontés les scientifiques, ingénieurs et techniciens.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