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Marchildon; Louis/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524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497-511. Index p.p. 513-520</w:t>
            </w:r>
          </w:p>
        </w:tc>
      </w:tr>
      <w:tr>
        <w:trPr>
          <w:trHeight w:val="567"/>
        </w:trPr>
        <w:tc>
          <w:tcPr>
            <w:tcW w:type="dxa" w:w="3000"/>
          </w:tcPr>
          <w:p>
            <w:r>
              <w:t>Numéro d'Identification</w:t>
            </w:r>
          </w:p>
        </w:tc>
        <w:tc>
          <w:tcPr>
            <w:tcW w:type="dxa" w:w="7000"/>
          </w:tcPr>
          <w:p>
            <w:r>
              <w:t>280413315X</w:t>
            </w:r>
          </w:p>
        </w:tc>
      </w:tr>
      <w:tr>
        <w:trPr>
          <w:trHeight w:val="567"/>
        </w:trPr>
        <w:tc>
          <w:tcPr>
            <w:tcW w:type="dxa" w:w="3000"/>
          </w:tcPr>
          <w:p>
            <w:r>
              <w:t>Sujet(s)</w:t>
            </w:r>
          </w:p>
        </w:tc>
        <w:tc>
          <w:tcPr>
            <w:tcW w:type="dxa" w:w="7000"/>
          </w:tcPr>
          <w:p>
            <w:r>
              <w:t xml:space="preserve">mécanique quantique/ </w:t>
            </w:r>
          </w:p>
        </w:tc>
      </w:tr>
    </w:tbl>
    <w:p>
      <w:pPr>
        <w:pStyle w:val="Heading3"/>
      </w:pPr>
      <w:r>
        <w:t>Résumé :</w:t>
      </w:r>
    </w:p>
    <w:p>
      <w:r>
        <w:t>Cet ouvrage vise à donner la formation de base de mécanique quantique aux étudiants des premier et deuxième cycles universitaires. Il présente les principaux éléments du formalisme et de ses applications. L'objectif est d'élucider les concepts difficiles et de montrer comment ces concepts sont utilisés pour obtenir des résultats concrets. Plusieurs applications de la mécanique quantique à la physique atomique et moléculaire sont développées de manière plus approfondie.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