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grandes transformations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Rougée; Paul/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404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Mathématiques et Applications (N°:25)</w:t>
            </w:r>
          </w:p>
        </w:tc>
      </w:tr>
      <w:tr>
        <w:trPr>
          <w:trHeight w:val="567"/>
        </w:trPr>
        <w:tc>
          <w:tcPr>
            <w:tcW w:type="dxa" w:w="3000"/>
          </w:tcPr>
          <w:p>
            <w:r>
              <w:t>Numéro d'Identification</w:t>
            </w:r>
          </w:p>
        </w:tc>
        <w:tc>
          <w:tcPr>
            <w:tcW w:type="dxa" w:w="7000"/>
          </w:tcPr>
          <w:p>
            <w:r>
              <w:t>3540626913</w:t>
            </w:r>
          </w:p>
        </w:tc>
      </w:tr>
      <w:tr>
        <w:trPr>
          <w:trHeight w:val="567"/>
        </w:trPr>
        <w:tc>
          <w:tcPr>
            <w:tcW w:type="dxa" w:w="3000"/>
          </w:tcPr>
          <w:p>
            <w:r>
              <w:t>Sujet(s)</w:t>
            </w:r>
          </w:p>
        </w:tc>
        <w:tc>
          <w:tcPr>
            <w:tcW w:type="dxa" w:w="7000"/>
          </w:tcPr>
          <w:p>
            <w:r>
              <w:t xml:space="preserve">cinématique/ physique mathématique/ élastoplasticité/ </w:t>
            </w:r>
          </w:p>
        </w:tc>
      </w:tr>
    </w:tbl>
    <w:p>
      <w:pPr>
        <w:pStyle w:val="Heading3"/>
      </w:pPr>
      <w:r>
        <w:t>Résumé :</w:t>
      </w:r>
    </w:p>
    <w:p>
      <w:r>
        <w:t>L'ouvrage traite des fondements de la mécanique des milieux continus en grandes transformations. Les éléments et théories usuels sont présentés. Une modélisation originale de l'état de déformation est proposée. Elle ne s'identifie ni à une mesure de déformation contingente ni au classique tenseur metrique. La théorie matérielle fondée sur cette variable d'état non tensorielle est intrinsèque et cohérente avec les éléments incontestés de l'approche eulérienne. Les théories matérielles usuelles (lagrangiennes, en rotation,...) en sont des approximations dont la pertinence est étudiée. Ce livre est susceptible d'intéresser aussi bien les étudiants de troisième cycle en mécanique ou en mathématiques appliquées que les chercheurs et 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