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générale. V2, dynamique du point matériel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Hadjri Mebarki, Soria/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Physique générale(N°:5607)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</w:t>
            </w:r>
          </w:p>
        </w:tc>
      </w:tr>
    </w:tbl>
    <w:p>
      <w:pPr>
        <w:pStyle w:val="Heading3"/>
      </w:pPr>
      <w:r>
        <w:t>Résumé :</w:t>
      </w:r>
    </w:p>
    <w:p>
      <w:r>
        <w:t>Conforme aux programmes du système LMD, cet ouvrage s’adresse aux étudiants de première année de l’université des filières des Sciences de la Matière (SM), Sciences et Techniques pour l’Ingénieur (STI), à celles du Tronc commun des Sciences Exactes, de la technologie et de l’Informatique (TC-SETI), ainsi qu’aux étudiants des classes préparatoires aux grandes écoles. Il est conçu de façon à permettre au lecteur de se familiariser avec les lois fondamentales et les principes de la physique, et de l’aider à les appliquer à des situations concrètes, grâce à de nombreux exemples et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