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spectroscopie de résonance paramagnétique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Bertrand, Patrick/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422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Grenoble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9782759811915</w:t>
            </w:r>
          </w:p>
        </w:tc>
      </w:tr>
      <w:tr>
        <w:trPr>
          <w:trHeight w:val="567"/>
        </w:trPr>
        <w:tc>
          <w:tcPr>
            <w:tcW w:type="dxa" w:w="3000"/>
          </w:tcPr>
          <w:p>
            <w:r>
              <w:t>Sujet(s)</w:t>
            </w:r>
          </w:p>
        </w:tc>
        <w:tc>
          <w:tcPr>
            <w:tcW w:type="dxa" w:w="7000"/>
          </w:tcPr>
          <w:p>
            <w:r>
              <w:t xml:space="preserve">magnétisme/ éléctronique/ résonance/ </w:t>
            </w:r>
          </w:p>
        </w:tc>
      </w:tr>
    </w:tbl>
    <w:p>
      <w:pPr>
        <w:pStyle w:val="Heading3"/>
      </w:pPr>
      <w:r>
        <w:t>Résumé :</w:t>
      </w:r>
    </w:p>
    <w:p>
      <w:r>
        <w:t>En complément de Spectroscopie de résonance paramagnétique, fondements cet ouvrage expose les différentes applications de la RPE (spectroscopie de résonance paramagnétique) dans les secteurs de l'industrie, des sciences de la Terre et de la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