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Viscoélasticité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Salençon, Jean/ Halphen,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l'Ecole nationale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calcul des structures anélastiques(N°:None)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2859780513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viscoélasticite/ </w:t>
            </w:r>
          </w:p>
        </w:tc>
      </w:tr>
    </w:tbl>
    <w:p>
      <w:pPr>
        <w:pStyle w:val="Heading3"/>
      </w:pPr>
      <w:r>
        <w:t>Résumé :</w:t>
      </w:r>
    </w:p>
    <w:p>
      <w:r>
        <w:t>L'ouvrage étude les trois premièr chapitres suivants: -Le modèle de comportement viscoélastique uniaxial.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