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Viscoélasticité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Salençon, Jean/ Halphen,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l'Ecole nationale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calcul des structures anélastiques(N°:None)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2859780513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viscoélasticite/ viscoélastique linéaire/ </w:t>
            </w:r>
          </w:p>
        </w:tc>
      </w:tr>
    </w:tbl>
    <w:p>
      <w:pPr>
        <w:pStyle w:val="Heading3"/>
      </w:pPr>
      <w:r>
        <w:t>Résumé :</w:t>
      </w:r>
    </w:p>
    <w:p>
      <w:r>
        <w:t>Le livre Viscoélasticité présente les principes fondamentaux du comportement viscoélastique des matériaux, en étudiant les relations entre contraintes et déformations en fonction du temps, les modèles mécaniques (Maxwell, Kelvin-Voigt, modèles généralisés), la relaxation des contraintes, le fluage, les essais expérimentaux et les applications de la viscoélasticité dans la mécanique des matériaux, les polymères et les structures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