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Rupture par fissuration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Recho, Naman/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technologies(N°:None)</w:t>
            </w:r>
          </w:p>
        </w:tc>
      </w:tr>
      <w:tr>
        <w:trPr>
          <w:trHeight w:val="567"/>
        </w:trPr>
        <w:tc>
          <w:tcPr>
            <w:tcW w:type="dxa" w:w="3000"/>
          </w:tcPr>
          <w:p>
            <w:r>
              <w:t>Notes Générales</w:t>
            </w:r>
          </w:p>
        </w:tc>
        <w:tc>
          <w:tcPr>
            <w:tcW w:type="dxa" w:w="7000"/>
          </w:tcPr>
          <w:p>
            <w:r>
              <w:t>Bibliogr. p.p. 349-363</w:t>
            </w:r>
          </w:p>
        </w:tc>
      </w:tr>
      <w:tr>
        <w:trPr>
          <w:trHeight w:val="567"/>
        </w:trPr>
        <w:tc>
          <w:tcPr>
            <w:tcW w:type="dxa" w:w="3000"/>
          </w:tcPr>
          <w:p>
            <w:r>
              <w:t>Numéro d'Identification</w:t>
            </w:r>
          </w:p>
        </w:tc>
        <w:tc>
          <w:tcPr>
            <w:tcW w:type="dxa" w:w="7000"/>
          </w:tcPr>
          <w:p>
            <w:r>
              <w:t>286601488X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fissuration de structure/ </w:t>
            </w:r>
          </w:p>
        </w:tc>
      </w:tr>
    </w:tbl>
    <w:p>
      <w:pPr>
        <w:pStyle w:val="Heading3"/>
      </w:pPr>
      <w:r>
        <w:t>Résumé :</w:t>
      </w:r>
    </w:p>
    <w:p>
      <w:r>
        <w:t>Le livre Rupture par fissuration des structures présente les principes fondamentaux de la mécanique de la rupture et analyse le comportement des structures fissurées sous différentes sollicitations, en abordant l’initiation et la propagation des fissures, les critères de rupture, la ténacité des matériaux ainsi que les méthodes d’évaluation de la sécurité et de la durée de vie des structure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