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Electrodynamique classique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Jackson; John David/ Christian, Jeanmougin/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823-830.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2100044117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électrodynamique/ </w:t>
            </w:r>
          </w:p>
        </w:tc>
      </w:tr>
    </w:tbl>
    <w:p>
      <w:pPr>
        <w:pStyle w:val="Heading3"/>
      </w:pPr>
      <w:r>
        <w:t>Résumé :</w:t>
      </w:r>
    </w:p>
    <w:p>
      <w:r>
        <w:t>Ce manuel correspond aux études d'électromagnétisme du master. Il propose de nombreux problèmes et traite des applications modernes de l'électromagnétisme, telles que les fibres optiques. De nombreux exercices permettent à l'étudiant de vérifier sa bonne compréhension des concepts.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