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Pernès, Pierre/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511-515</w:t>
            </w:r>
          </w:p>
        </w:tc>
      </w:tr>
      <w:tr>
        <w:trPr>
          <w:trHeight w:val="567"/>
        </w:trPr>
        <w:tc>
          <w:tcPr>
            <w:tcW w:type="dxa" w:w="3000"/>
          </w:tcPr>
          <w:p>
            <w:r>
              <w:t>Numéro d'Identification</w:t>
            </w:r>
          </w:p>
        </w:tc>
        <w:tc>
          <w:tcPr>
            <w:tcW w:type="dxa" w:w="7000"/>
          </w:tcPr>
          <w:p>
            <w:r>
              <w:t>285362613X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calcul tensoriel/ modèle mathématique/ </w:t>
            </w:r>
          </w:p>
        </w:tc>
      </w:tr>
    </w:tbl>
    <w:p>
      <w:pPr>
        <w:pStyle w:val="Heading3"/>
      </w:pPr>
      <w:r>
        <w:t>Résumé :</w:t>
      </w:r>
    </w:p>
    <w:p>
      <w:r>
        <w:t>Dans le même esprit que pour son précédent livre consacré aux Eléments de calcul tensoriel, Pierre Pernès rassemble dans ce nouvel ouvrage les principaux concepts de la mécanique des milieux continus déformables et de nombreux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