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François/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2854286324</w:t>
            </w:r>
          </w:p>
        </w:tc>
      </w:tr>
      <w:tr>
        <w:trPr>
          <w:trHeight w:val="567"/>
        </w:trPr>
        <w:tc>
          <w:tcPr>
            <w:tcW w:type="dxa" w:w="3000"/>
          </w:tcPr>
          <w:p>
            <w:r>
              <w:t>Sujet(s)</w:t>
            </w:r>
          </w:p>
        </w:tc>
        <w:tc>
          <w:tcPr>
            <w:tcW w:type="dxa" w:w="7000"/>
          </w:tcPr>
          <w:p>
            <w:r>
              <w:t xml:space="preserve">cristallographie/ minéralogie/ projection stéréographique/ </w:t>
            </w:r>
          </w:p>
        </w:tc>
      </w:tr>
    </w:tbl>
    <w:p>
      <w:pPr>
        <w:pStyle w:val="Heading3"/>
      </w:pPr>
      <w:r>
        <w:t>Résumé :</w:t>
      </w:r>
    </w:p>
    <w:p>
      <w:r>
        <w:t>L'objectif de cet ouvrage est d'être un outil pour l'étudiant. En général celui-ci craint d'avoir affaire à une discipline rébarbative où tous les éléments et axiomes son posés a priori, et où, par conséquent, il n'appréhende pas les choses avec sa propre sensibilité. Par conséquent chaque chapitre est construit à partir des définitions fondamentales s'appuyant sur l'observation et à travers lesquelles le lecteur construira l'axiomatique et surtout les théorèmes et les lois de la Cristallographie géométrique, où il découvrira les propriétés de symétrie du milieu cristallin, et où, enfin, il construira les groupes de symétrie de position et leurs représentations graphiques. A partir de là, le lecteur aura tous les éléments pour aborder les applications de la Cristallographie : représentation des groupes, diffraction et méthodes de déterminations structurales. Dans la mesure du possible, chaque chapitre comprendra une partie où le formalisme mathématique sera développé et où on montrera que ce formalisme traduit les résultats de l'observation.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