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 state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H.C/ </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367- 373</w:t>
            </w:r>
          </w:p>
        </w:tc>
      </w:tr>
      <w:tr>
        <w:trPr>
          <w:trHeight w:val="567"/>
        </w:trPr>
        <w:tc>
          <w:tcPr>
            <w:tcW w:type="dxa" w:w="3000"/>
          </w:tcPr>
          <w:p>
            <w:r>
              <w:t>Numéro d'Identification</w:t>
            </w:r>
          </w:p>
        </w:tc>
        <w:tc>
          <w:tcPr>
            <w:tcW w:type="dxa" w:w="7000"/>
          </w:tcPr>
          <w:p>
            <w:r>
              <w:t>8125910115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cystalline solid/ crystal structure/ </w:t>
            </w:r>
          </w:p>
        </w:tc>
      </w:tr>
    </w:tbl>
    <w:p>
      <w:pPr>
        <w:pStyle w:val="Heading3"/>
      </w:pPr>
      <w:r>
        <w:t>Résumé :</w:t>
      </w:r>
    </w:p>
    <w:p>
      <w:r>
        <w:t>This book présente the idea and theories on which modem solid physics is based. An attempt has been made to use the simplest and most feasible approach.Experimental details have been provied wherever necessary. There is in-depth coverage of topics like the Thermal; Magic,Electronic, Electrical and Superconducting properties of solids as these areas have numerous technological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