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mathématique et 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Miranville; A/ Temam;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Scopos(N°:18)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271-275.  Index p.p 277-280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3540440356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élasticité/ mécanique classique/ modèle/ mécanique ondulatoire/ </w:t>
            </w:r>
          </w:p>
        </w:tc>
      </w:tr>
    </w:tbl>
    <w:p>
      <w:pPr>
        <w:pStyle w:val="Heading3"/>
      </w:pPr>
      <w:r>
        <w:t>Résumé :</w:t>
      </w:r>
    </w:p>
    <w:p>
      <w:r>
        <w:t>Outre les fondements de la mécanique des milieux continus, cet ouvrage contient des introductions plus ou moins détaillées à diverses disciplines connexes : magnétohydrodynamique, combustion, dynamique des fluides géophysiques...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