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énergétiques.T1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Gicquel, Renaud/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matière(N°:None)</w:t>
            </w:r>
          </w:p>
        </w:tc>
      </w:tr>
      <w:tr>
        <w:trPr>
          <w:trHeight w:val="567"/>
        </w:trPr>
        <w:tc>
          <w:tcPr>
            <w:tcW w:type="dxa" w:w="3000"/>
          </w:tcPr>
          <w:p>
            <w:r>
              <w:t>Numéro d'Identification</w:t>
            </w:r>
          </w:p>
        </w:tc>
        <w:tc>
          <w:tcPr>
            <w:tcW w:type="dxa" w:w="7000"/>
          </w:tcPr>
          <w:p>
            <w:r>
              <w:t>2911762274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systeme énergétique/ </w:t>
            </w:r>
          </w:p>
        </w:tc>
      </w:tr>
    </w:tbl>
    <w:p>
      <w:pPr>
        <w:pStyle w:val="Heading3"/>
      </w:pPr>
      <w:r>
        <w:t>Résumé :</w:t>
      </w:r>
    </w:p>
    <w:p>
      <w:r>
        <w:t>Ce premier tome montre en effet comment il est possible de calculer des systèmes énergitiques même complexes sans écrire un seul équation ni programmer une ligne de code, et ceci tout en obtenant trés facilemment les résultats d'une grande précision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