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 dans le vide et les 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2100048368</w:t>
            </w:r>
          </w:p>
        </w:tc>
      </w:tr>
      <w:tr>
        <w:trPr>
          <w:trHeight w:val="567"/>
        </w:trPr>
        <w:tc>
          <w:tcPr>
            <w:tcW w:type="dxa" w:w="3000"/>
          </w:tcPr>
          <w:p>
            <w:r>
              <w:t>Sujet(s)</w:t>
            </w:r>
          </w:p>
        </w:tc>
        <w:tc>
          <w:tcPr>
            <w:tcW w:type="dxa" w:w="7000"/>
          </w:tcPr>
          <w:p>
            <w:r>
              <w:t xml:space="preserve">électromagnétique/ problemes resolus/ </w:t>
            </w:r>
          </w:p>
        </w:tc>
      </w:tr>
    </w:tbl>
    <w:p>
      <w:pPr>
        <w:pStyle w:val="Heading3"/>
      </w:pPr>
      <w:r>
        <w:t>Résumé :</w:t>
      </w:r>
    </w:p>
    <w:p>
      <w:r>
        <w:t>Cet ouvrage propose 70 problèmes consacrés aux ondes éléctromagnétiques dans le vide et les conducteurs,tous complètement résolus ,qui ont été spécialement choisis pour que l'étudiants puisse ramener tout prpblème qui lui sera posé à l'un des problèmes types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