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Magnétic flux structures in superconductors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Huebener, Rudolf Peter/ </w:t>
            </w:r>
          </w:p>
        </w:tc>
      </w:tr>
      <w:tr>
        <w:trPr>
          <w:trHeight w:val="567"/>
        </w:trPr>
        <w:tc>
          <w:tcPr>
            <w:tcW w:type="dxa" w:w="3000"/>
          </w:tcPr>
          <w:p>
            <w:r>
              <w:t>Adresse bib.</w:t>
            </w:r>
          </w:p>
        </w:tc>
        <w:tc>
          <w:tcPr>
            <w:tcW w:type="dxa" w:w="7000"/>
          </w:tcPr>
          <w:p>
            <w:r>
              <w:t xml:space="preserve">Springer-Verlag Berlin Heidelberg/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Springer series in solid-state sciences(N°:6)</w:t>
            </w:r>
          </w:p>
        </w:tc>
      </w:tr>
      <w:tr>
        <w:trPr>
          <w:trHeight w:val="567"/>
        </w:trPr>
        <w:tc>
          <w:tcPr>
            <w:tcW w:type="dxa" w:w="3000"/>
          </w:tcPr>
          <w:p>
            <w:r>
              <w:t>Notes Générales</w:t>
            </w:r>
          </w:p>
        </w:tc>
        <w:tc>
          <w:tcPr>
            <w:tcW w:type="dxa" w:w="7000"/>
          </w:tcPr>
          <w:p>
            <w:r>
              <w:t>Bibliogr. p.p. 241-254. Index</w:t>
            </w:r>
          </w:p>
        </w:tc>
      </w:tr>
      <w:tr>
        <w:trPr>
          <w:trHeight w:val="567"/>
        </w:trPr>
        <w:tc>
          <w:tcPr>
            <w:tcW w:type="dxa" w:w="3000"/>
          </w:tcPr>
          <w:p>
            <w:r>
              <w:t>Numéro d'Identification</w:t>
            </w:r>
          </w:p>
        </w:tc>
        <w:tc>
          <w:tcPr>
            <w:tcW w:type="dxa" w:w="7000"/>
          </w:tcPr>
          <w:p>
            <w:r>
              <w:t>3540092137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supraconducteur/ flux magnétique/ </w:t>
            </w:r>
          </w:p>
        </w:tc>
      </w:tr>
    </w:tbl>
    <w:p>
      <w:pPr>
        <w:pStyle w:val="Heading3"/>
      </w:pPr>
      <w:r>
        <w:t>Résumé :</w:t>
      </w:r>
    </w:p>
    <w:p>
      <w:r>
        <w:t>In iddition to static properties the book treats time dipendent phenomena such as flux flow and tronsport effects in superconductors .physical phenomena and experimental results ara emphasized throught .althought reserch oriented this timely book makes execellent supplemental reading for graduate courses in low temperature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