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fusion thermonucléaire intertielle par laser , première partie,  introduction laser matière.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Dautray; Robert/ Watteau, Jean-Paul/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du Commissariat à l'énergie atomique.(N°:None)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2727201680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fusion nucléaire / laser matière/ </w:t>
            </w:r>
          </w:p>
        </w:tc>
      </w:tr>
    </w:tbl>
    <w:p>
      <w:pPr>
        <w:pStyle w:val="Heading3"/>
      </w:pPr>
      <w:r>
        <w:t>Résumé :</w:t>
      </w:r>
    </w:p>
    <w:p>
      <w:r>
        <w:t>Les recherches sur la fusion thermonucléaire inertielle par laser, sujet de cet ouvrage constitué de trois parties, progressent depuis plus de trois décennies. Dans la première partie, les propriétés des plasmas avec ou sans collisions ayant été rappelées, l'interaction du rayonnement du laser avec la matière à l'état de plasma est analysée. Partiellement absorbé par les électrons, le rayonnement laser excite les modes propres du plasma avec naissance d'instabilités paramétriques (diffusion Raman et Brillouin, filamentation) génératrices d'électrons suprathermiques.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