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thermographie infrarouge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Gaussorgues,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rev. et aug.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infrarouge/ transmission atmosphérique/ </w:t>
            </w:r>
          </w:p>
        </w:tc>
      </w:tr>
    </w:tbl>
    <w:p>
      <w:pPr>
        <w:pStyle w:val="Heading3"/>
      </w:pPr>
      <w:r>
        <w:t>Résumé :</w:t>
      </w:r>
    </w:p>
    <w:p>
      <w:r>
        <w:t>Cette 4e édition (paraissant 10 ans après la 3e) a été entièrement revue. De plus, elle inclut un chapitre consacré à toutes les nouveautés concernant le fonctionnement et l'utilisation des caméras à détecteurs matriciels refroidis et non refroidis. Enfin, 12 pages hors texte en couleurs complètent cet état de l'art exhaustif et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