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Dynamique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Gie, Hubert/ </w:t>
            </w:r>
          </w:p>
        </w:tc>
      </w:tr>
      <w:tr>
        <w:trPr>
          <w:trHeight w:val="567"/>
        </w:trPr>
        <w:tc>
          <w:tcPr>
            <w:tcW w:type="dxa" w:w="3000"/>
          </w:tcPr>
          <w:p>
            <w:r>
              <w:t>Adresse bib.</w:t>
            </w:r>
          </w:p>
        </w:tc>
        <w:tc>
          <w:tcPr>
            <w:tcW w:type="dxa" w:w="7000"/>
          </w:tcPr>
          <w:p>
            <w:r>
              <w:t xml:space="preserve">J.B. Baillière/ </w:t>
            </w:r>
          </w:p>
        </w:tc>
      </w:tr>
      <w:tr>
        <w:trPr>
          <w:trHeight w:val="567"/>
        </w:trPr>
        <w:tc>
          <w:tcPr>
            <w:tcW w:type="dxa" w:w="3000"/>
          </w:tcPr>
          <w:p>
            <w:r>
              <w:t>Nombre de Pages</w:t>
            </w:r>
          </w:p>
        </w:tc>
        <w:tc>
          <w:tcPr>
            <w:tcW w:type="dxa" w:w="7000"/>
          </w:tcPr>
          <w:p>
            <w:r>
              <w:t>310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de sciences physiques(N°:None)</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dynamique/ mécanique relativité/ </w:t>
            </w:r>
          </w:p>
        </w:tc>
      </w:tr>
    </w:tbl>
    <w:p>
      <w:pPr>
        <w:pStyle w:val="Heading3"/>
      </w:pPr>
      <w:r>
        <w:t>Résumé :</w:t>
      </w:r>
    </w:p>
    <w:p>
      <w:r>
        <w:t>le titre  Dynamique, mathématiques supérieures et toutes spéciales MM’, PP’  désigne un ouvrage de niveau classes préparatoires scientifiques qui traite principalement des bases et approfondissements de la dynamique en mécanique, en s’appuyant sur les outils des mathématiques supérieures (analyse, algèbre, équations différentielles) nécessaires aux filières MM’ et PP’. Il propose une approche structurée reliant la modélisation mathématique aux lois du mouvement, afin de préparer efficacement aux problèmes classiques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