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Magnétostatique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2840741342</w:t>
            </w:r>
          </w:p>
        </w:tc>
      </w:tr>
      <w:tr>
        <w:trPr>
          <w:trHeight w:val="567"/>
        </w:trPr>
        <w:tc>
          <w:tcPr>
            <w:tcW w:type="dxa" w:w="3000"/>
          </w:tcPr>
          <w:p>
            <w:r>
              <w:t>Sujet(s)</w:t>
            </w:r>
          </w:p>
        </w:tc>
        <w:tc>
          <w:tcPr>
            <w:tcW w:type="dxa" w:w="7000"/>
          </w:tcPr>
          <w:p>
            <w:r>
              <w:t xml:space="preserve">magnétostatique/ </w:t>
            </w:r>
          </w:p>
        </w:tc>
      </w:tr>
    </w:tbl>
    <w:p>
      <w:pPr>
        <w:pStyle w:val="Heading3"/>
      </w:pPr>
      <w:r>
        <w:t>Résumé :</w:t>
      </w:r>
    </w:p>
    <w:p>
      <w:r>
        <w:t>Les trois chapitres de cet ouvrage, contient de nouveaux problèmes est précédé d'un rappel des principaux résultats du cours et contient un large éventail d'exercices et de problèmes, résumés par un titre, soigneusement résolus et choisis pour leur caractère formateur ,avec un triple souci.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