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rhéologie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Couarraze, G./ Grossiord, J.L./ </w:t>
            </w:r>
          </w:p>
        </w:tc>
      </w:tr>
      <w:tr>
        <w:trPr>
          <w:trHeight w:val="567"/>
        </w:trPr>
        <w:tc>
          <w:tcPr>
            <w:tcW w:type="dxa" w:w="3000"/>
          </w:tcPr>
          <w:p>
            <w:r>
              <w:t>Edition</w:t>
            </w:r>
          </w:p>
        </w:tc>
        <w:tc>
          <w:tcPr>
            <w:tcW w:type="dxa" w:w="7000"/>
          </w:tcPr>
          <w:p>
            <w:r>
              <w:t>2é éd. revue et augmentée</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2852066602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rhéologie/ régime permanent/ </w:t>
            </w:r>
          </w:p>
        </w:tc>
      </w:tr>
    </w:tbl>
    <w:p>
      <w:pPr>
        <w:pStyle w:val="Heading3"/>
      </w:pPr>
      <w:r>
        <w:t>Résumé :</w:t>
      </w:r>
    </w:p>
    <w:p>
      <w:r>
        <w:t>Une introduction aussi complète et accessible que possible aux non-spécialistes sur cette branche de la mécanique, présentée de façon concrète et pratique. Des analyses structurelles moléculaires pour une grande variétés de matériaux (liquides simples, complexes, dispersions, solides cristallins, solides divisés, matériaux polymères) illustrent la théorie.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