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recyclage du combustible nucléaire usé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COMMISSARIAT A L'ENERGIE ATOMIQUE/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9782281113761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recyclage/ combustible nucléaire/ </w:t>
            </w:r>
          </w:p>
        </w:tc>
      </w:tr>
    </w:tbl>
    <w:p>
      <w:pPr>
        <w:pStyle w:val="Heading3"/>
      </w:pPr>
      <w:r>
        <w:t>Résumé :</w:t>
      </w:r>
    </w:p>
    <w:p>
      <w:r>
        <w:t>Après son passage en réacteur, le combustible nucléaire usé contient encore beaucoup de matières valorisables au plan énergétique (uranium, plutonium), ainsi que des produits de fission et actinides mineurs qui représentent les résidus des réactions nucléaires. Le traitement-recyclage du combustible usé, tel qu'il est pratiqué en France, implique la séparation chimique de ces matières. Le développement de ce procédé et sa mise en oeuvre industrielle représentent un haut fait de la science et de la technologie française. Le traitement-recyclage permet à la fois une bonne gestion des déchets nucléaires et une substantielle économie de matière fissile. Récemment conforté par l'envolée spectaculaire du prix de l'uranium, il deviendra indispensable avec l'arrivée des réacteurs de la prochaine génération, à neutrons rapides. Cette monographie fait le point sur le procédé chimique de traitement du combustible usé, dans ses variantes actuelle et future. Elle décrit les recherches en cours, en exposant les enjeux et les résultats récents obtenus par le CEA.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