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Instabilités et bifurcations en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Charru, François/ Iooss, Gérard/ Léger,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Mécanique théorique(N°:None)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p.330-333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9782364936126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bifurcations/ </w:t>
            </w:r>
          </w:p>
        </w:tc>
      </w:tr>
    </w:tbl>
    <w:p>
      <w:pPr>
        <w:pStyle w:val="Heading3"/>
      </w:pPr>
      <w:r>
        <w:t>Résumé :</w:t>
      </w:r>
    </w:p>
    <w:p>
      <w:r>
        <w:t>Ce troisième livre de la collection Mécanique théorique porte sur les instabilités et bifurcations en mécanique. en mécanique des solides, l'étude de l'équilibre des pièces comprimées a révélé, au XVIIIesiècle, qu'une tige élastique pourtant chargée suivant son axe pouvait fléchir brutalement. La dynamique des fluides a également fasciné physiciens et mathématiciens qui ont par exemple, dès le XIXesiècle, essayé de comprendre l'apparition des vagues à la surface de l'eau. Mais c'est essentiellement au XXesiècle qu'ont été développés les fondements mécaniques et mathématiques de ces solutions, désormais dites «bifurquées» pour marquer qu'existent simultanément, c'est-à-dire pour les mêmes valeurs des paramètres, d'autres solutions alors dites triviales ou fondamentales, que l'on n'observe pas en général pour des raisons de stabilité.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