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milieux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Solomon, Liviu/ Coirier, Jean/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p.p.481-493</w:t>
            </w:r>
          </w:p>
        </w:tc>
      </w:tr>
      <w:tr>
        <w:trPr>
          <w:trHeight w:val="567"/>
        </w:trPr>
        <w:tc>
          <w:tcPr>
            <w:tcW w:type="dxa" w:w="3000"/>
          </w:tcPr>
          <w:p>
            <w:r>
              <w:t>Numéro d'Identification</w:t>
            </w:r>
          </w:p>
        </w:tc>
        <w:tc>
          <w:tcPr>
            <w:tcW w:type="dxa" w:w="7000"/>
          </w:tcPr>
          <w:p>
            <w:r>
              <w:t>9782100507054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conservation de la masse/ équation de bilan/ </w:t>
            </w:r>
          </w:p>
        </w:tc>
      </w:tr>
    </w:tbl>
    <w:p>
      <w:pPr>
        <w:pStyle w:val="Heading3"/>
      </w:pPr>
      <w:r>
        <w:t>Résumé :</w:t>
      </w:r>
    </w:p>
    <w:p>
      <w:r>
        <w:t>Cet ouvrage présente les notions essentielles et les lois fondamentales de la mécanique des milieux continus (solides et fluides). Dans cette nouvelle édition actualisée, le chapitre sur les "Lois de comportement" a été entièrement révisé. Le cours est complété par des exercices et problèmes résolus renouvelés.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