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Coirier,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287-301</w:t>
            </w:r>
          </w:p>
        </w:tc>
      </w:tr>
      <w:tr>
        <w:trPr>
          <w:trHeight w:val="567"/>
        </w:trPr>
        <w:tc>
          <w:tcPr>
            <w:tcW w:type="dxa" w:w="3000"/>
          </w:tcPr>
          <w:p>
            <w:r>
              <w:t>Numéro d'Identification</w:t>
            </w:r>
          </w:p>
        </w:tc>
        <w:tc>
          <w:tcPr>
            <w:tcW w:type="dxa" w:w="7000"/>
          </w:tcPr>
          <w:p>
            <w:r>
              <w:t>210004933X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analytique/ milieux continus/ </w:t>
            </w:r>
          </w:p>
        </w:tc>
      </w:tr>
    </w:tbl>
    <w:p>
      <w:pPr>
        <w:pStyle w:val="Heading3"/>
      </w:pPr>
      <w:r>
        <w:t>Résumé :</w:t>
      </w:r>
    </w:p>
    <w:p>
      <w:r>
        <w:t>Cet ouvrage, qui traite de la mécanique des milieux continus (solide ou fluides), est avant tout un outil de travail qui permet de retrouver rapidement une définition, un résultat ou une formule de mécanique des milieux continus ou de calcul tensoriel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