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Dubigeon, Serge/ </w:t>
            </w:r>
          </w:p>
        </w:tc>
      </w:tr>
      <w:tr>
        <w:trPr>
          <w:trHeight w:val="567"/>
        </w:trPr>
        <w:tc>
          <w:tcPr>
            <w:tcW w:type="dxa" w:w="3000"/>
          </w:tcPr>
          <w:p>
            <w:r>
              <w:t>Edition</w:t>
            </w:r>
          </w:p>
        </w:tc>
        <w:tc>
          <w:tcPr>
            <w:tcW w:type="dxa" w:w="7000"/>
          </w:tcPr>
          <w:p>
            <w:r>
              <w:t>2e éd. rev. et augm.</w:t>
            </w:r>
          </w:p>
        </w:tc>
      </w:tr>
      <w:tr>
        <w:trPr>
          <w:trHeight w:val="567"/>
        </w:trPr>
        <w:tc>
          <w:tcPr>
            <w:tcW w:type="dxa" w:w="3000"/>
          </w:tcPr>
          <w:p>
            <w:r>
              <w:t>Adresse bib.</w:t>
            </w:r>
          </w:p>
        </w:tc>
        <w:tc>
          <w:tcPr>
            <w:tcW w:type="dxa" w:w="7000"/>
          </w:tcPr>
          <w:p>
            <w:r>
              <w:t xml:space="preserve">ecole centrale de Nantes/ Tec &amp; doc Lavoisier/ </w:t>
            </w:r>
          </w:p>
        </w:tc>
      </w:tr>
      <w:tr>
        <w:trPr>
          <w:trHeight w:val="567"/>
        </w:trPr>
        <w:tc>
          <w:tcPr>
            <w:tcW w:type="dxa" w:w="3000"/>
          </w:tcPr>
          <w:p>
            <w:r>
              <w:t>Nombre de Pages</w:t>
            </w:r>
          </w:p>
        </w:tc>
        <w:tc>
          <w:tcPr>
            <w:tcW w:type="dxa" w:w="7000"/>
          </w:tcPr>
          <w:p>
            <w:r>
              <w:t>524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521-524</w:t>
            </w:r>
          </w:p>
        </w:tc>
      </w:tr>
      <w:tr>
        <w:trPr>
          <w:trHeight w:val="567"/>
        </w:trPr>
        <w:tc>
          <w:tcPr>
            <w:tcW w:type="dxa" w:w="3000"/>
          </w:tcPr>
          <w:p>
            <w:r>
              <w:t>Numéro d'Identification</w:t>
            </w:r>
          </w:p>
        </w:tc>
        <w:tc>
          <w:tcPr>
            <w:tcW w:type="dxa" w:w="7000"/>
          </w:tcPr>
          <w:p>
            <w:r>
              <w:t>2912985005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mécanique des milieux continus/ </w:t>
            </w:r>
          </w:p>
        </w:tc>
      </w:tr>
    </w:tbl>
    <w:p>
      <w:pPr>
        <w:pStyle w:val="Heading3"/>
      </w:pPr>
      <w:r>
        <w:t>Résumé :</w:t>
      </w:r>
    </w:p>
    <w:p>
      <w:r>
        <w:t>Cet ouvrage est scindé en quatre parties dont les objectifs sont assez distincts. Dans la première partie on introduit le lecteur à la mécanique des milieux continus en s'attachant à l'essentiel. La deuxième partie traite de l'élastodynamique des petits mouvements en utilisant comme mode de description l'analyse modale. De nombreux exemples plus ou moins classiques relatifs à la mécanique des solides déformables permettront au lecteur de se familiariser avec les notions développées. La troisième partie traite de la méthode des éléments finis, et de ses extensions en aboutissant aux méthodes variationnelles  générales. La seconde édition de ce cours a été complétée par une quatrième partie fournissant un complément sur les lois  de comportement permettant au lecteur d'étendre le champ d'application de la méthodologie décrite initialement à des problèmes plus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