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RMN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Canet, Daniel/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231-235</w:t>
            </w:r>
          </w:p>
        </w:tc>
      </w:tr>
      <w:tr>
        <w:trPr>
          <w:trHeight w:val="567"/>
        </w:trPr>
        <w:tc>
          <w:tcPr>
            <w:tcW w:type="dxa" w:w="3000"/>
          </w:tcPr>
          <w:p>
            <w:r>
              <w:t>Numéro d'Identification</w:t>
            </w:r>
          </w:p>
        </w:tc>
        <w:tc>
          <w:tcPr>
            <w:tcW w:type="dxa" w:w="7000"/>
          </w:tcPr>
          <w:p>
            <w:r>
              <w:t>210005256x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RMN/ </w:t>
            </w:r>
          </w:p>
        </w:tc>
      </w:tr>
    </w:tbl>
    <w:p>
      <w:pPr>
        <w:pStyle w:val="Heading3"/>
      </w:pPr>
      <w:r>
        <w:t>Résumé :</w:t>
      </w:r>
    </w:p>
    <w:p>
      <w:r>
        <w:t>Depuis sa découverte en 1945, la Résonance Magnétique Nucléaire (RMN) a connu des développements spectaculaires. Cela va de l'étude structurale de molécules de taille de plus en plus importante à la production d'images. L'une des applications de la production d'images est l'imagerie par Résonance Magnétique (IRM) dont les répercussions en médecine sont considérables. Compte tenu de la variété de ses aspects expérimentaux et méthodologiques, et de l'éventail de ses applications qui ne cesse de s'élargir, la RMN est devenue une discipline à part entière. Cette deuxième édition fait le point sur les méthodes et les concepts les plus récents de la RMN (techniques multi-impuisionnelles et multidimensionnelles, traitement du signal) sans oublier les aspects plus traditionnels (structure des spectres et paramètres dynamiques). Les connaissances fondamentales sont développées dans un style accessible a tout étudiant de premier cycle scientifique. Des connaissances complémentaires (en mathématiques et mécanique quantique) sont présentées de façon rigoureuse sur le Web afin de satisfaire des étudiants plus spécialisés (deuxième et troisième cycles,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