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Ashby,Michael F./ Jones, David R.H./ Brech,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365-385</w:t>
            </w:r>
          </w:p>
        </w:tc>
      </w:tr>
      <w:tr>
        <w:trPr>
          <w:trHeight w:val="567"/>
        </w:trPr>
        <w:tc>
          <w:tcPr>
            <w:tcW w:type="dxa" w:w="3000"/>
          </w:tcPr>
          <w:p>
            <w:r>
              <w:t>Numéro d'Identification</w:t>
            </w:r>
          </w:p>
        </w:tc>
        <w:tc>
          <w:tcPr>
            <w:tcW w:type="dxa" w:w="7000"/>
          </w:tcPr>
          <w:p>
            <w:r>
              <w:t>2100036521</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 structure/ </w:t>
            </w:r>
          </w:p>
        </w:tc>
      </w:tr>
    </w:tbl>
    <w:p>
      <w:pPr>
        <w:pStyle w:val="Heading3"/>
      </w:pPr>
      <w:r>
        <w:t>Résumé :</w:t>
      </w:r>
    </w:p>
    <w:p>
      <w:r>
        <w:t>Ce livre -un classique dans les pays anglo-saxons- décrit les transformations structurales que peuvent subir les matériaux en construction mécanique. Les procédés de mise en oeuvre de chaque grande classe de matériaux sont présentés et sont illustrés par des études de cas et des 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