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ondes électromagnétiques et milieux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Cipriani, Joseph/ Piccioli, Norbert/ </w:t>
            </w:r>
          </w:p>
        </w:tc>
      </w:tr>
      <w:tr>
        <w:trPr>
          <w:trHeight w:val="567"/>
        </w:trPr>
        <w:tc>
          <w:tcPr>
            <w:tcW w:type="dxa" w:w="3000"/>
          </w:tcPr>
          <w:p>
            <w:r>
              <w:t>Edition</w:t>
            </w:r>
          </w:p>
        </w:tc>
        <w:tc>
          <w:tcPr>
            <w:tcW w:type="dxa" w:w="7000"/>
          </w:tcPr>
          <w:p>
            <w:r>
              <w:t>2ém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210490702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electromagnétique/ </w:t>
            </w:r>
          </w:p>
        </w:tc>
      </w:tr>
    </w:tbl>
    <w:p>
      <w:pPr>
        <w:pStyle w:val="Heading3"/>
      </w:pPr>
      <w:r>
        <w:t>Résumé :</w:t>
      </w:r>
    </w:p>
    <w:p>
      <w:r>
        <w:t>Les ouvrages de la série Amzallag couvrent le contenu du programme des trois premières années d'études universitaires.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 Ce cours est une nouvelle édition d'une partie de l'ouvrage "Ondes". Il en actualise les exercices et la manière d'aborder certains concepts. Le dernier chapitre regroupe des problèmes d'examens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