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statistique de la chaleur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Brening; Wilhelm/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p.p.307-310</w:t>
            </w:r>
          </w:p>
        </w:tc>
      </w:tr>
      <w:tr>
        <w:trPr>
          <w:trHeight w:val="567"/>
        </w:trPr>
        <w:tc>
          <w:tcPr>
            <w:tcW w:type="dxa" w:w="3000"/>
          </w:tcPr>
          <w:p>
            <w:r>
              <w:t>Numéro d'Identification</w:t>
            </w:r>
          </w:p>
        </w:tc>
        <w:tc>
          <w:tcPr>
            <w:tcW w:type="dxa" w:w="7000"/>
          </w:tcPr>
          <w:p>
            <w:r>
              <w:t>2100039418</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transfert du chaleur/ équilibre thermique/ </w:t>
            </w:r>
          </w:p>
        </w:tc>
      </w:tr>
    </w:tbl>
    <w:p>
      <w:pPr>
        <w:pStyle w:val="Heading3"/>
      </w:pPr>
      <w:r>
        <w:t>Résumé :</w:t>
      </w:r>
    </w:p>
    <w:p>
      <w:r>
        <w:t>Cet ouvrage est une introduction concise et très pédagogique à la mécanique statistique et à la thermodynamique classique, à l'intention des étudiants du second cycle et des écoles d'ingénieurs. Tout en restant très simple, il présente de nombreuses applications dont certaines très modernes. Chaque chapitre se termine par quelques exercices et une brève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