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Safa/ Djebbar, Akila/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apprentissage profond/ phase de remémoration/ donnée médicale/ </w:t>
            </w:r>
          </w:p>
        </w:tc>
      </w:tr>
    </w:tbl>
    <w:p>
      <w:pPr>
        <w:pStyle w:val="Heading3"/>
      </w:pPr>
      <w:r>
        <w:t>Résumé :</w:t>
      </w:r>
    </w:p>
    <w:p>
      <w:r>
        <w:t>Cette thèse développe des approches hybrides novatrices combinant le raisonnement à partir de cas (RàPC) et l'apprentissage profond pour deux problématiques cruciales de santé publique. L'objectif est de tirer parti des forces complémentaires de ces deux paradigmes de l'intelligence artificielle afin d'obtenir des solutions robustes, transparentes et personnalisées pour le diagnostic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